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9DFFE" w14:textId="77777777" w:rsidR="00FF0BC1" w:rsidRDefault="001A0CA6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14:paraId="2789DFFF" w14:textId="77777777" w:rsidR="00FF0BC1" w:rsidRDefault="001A0CA6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14:paraId="2789E000" w14:textId="0E00E7CE" w:rsidR="00FF0BC1" w:rsidRDefault="001A0CA6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1A51F1">
        <w:rPr>
          <w:rFonts w:ascii="Corbel" w:hAnsi="Corbel" w:cs="Corbel"/>
          <w:i/>
          <w:smallCaps/>
          <w:sz w:val="24"/>
          <w:szCs w:val="24"/>
        </w:rPr>
        <w:t>2023/2026</w:t>
      </w:r>
    </w:p>
    <w:p w14:paraId="2789E001" w14:textId="77777777" w:rsidR="00FF0BC1" w:rsidRDefault="001A0CA6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14:paraId="2789E002" w14:textId="14FA946C" w:rsidR="00FF0BC1" w:rsidRDefault="001A0CA6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2024/</w:t>
      </w:r>
      <w:r w:rsidR="001A51F1">
        <w:rPr>
          <w:rFonts w:ascii="Corbel" w:hAnsi="Corbel" w:cs="Corbel"/>
          <w:sz w:val="20"/>
          <w:szCs w:val="20"/>
        </w:rPr>
        <w:t>202</w:t>
      </w:r>
      <w:r>
        <w:rPr>
          <w:rFonts w:ascii="Corbel" w:hAnsi="Corbel" w:cs="Corbel"/>
          <w:sz w:val="20"/>
          <w:szCs w:val="20"/>
        </w:rPr>
        <w:t>5</w:t>
      </w:r>
    </w:p>
    <w:p w14:paraId="2789E003" w14:textId="77777777" w:rsidR="00FF0BC1" w:rsidRDefault="00FF0BC1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2789E004" w14:textId="77777777" w:rsidR="00FF0BC1" w:rsidRDefault="001A0CA6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80" w:type="dxa"/>
        <w:tblInd w:w="-39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693"/>
        <w:gridCol w:w="7087"/>
      </w:tblGrid>
      <w:tr w:rsidR="00FF0BC1" w14:paraId="2789E00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05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06" w14:textId="149FF187" w:rsidR="00FF0BC1" w:rsidRDefault="00E10D45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Wykluczenia społeczne</w:t>
            </w:r>
            <w:bookmarkStart w:id="0" w:name="_GoBack"/>
            <w:bookmarkEnd w:id="0"/>
          </w:p>
        </w:tc>
      </w:tr>
      <w:tr w:rsidR="00FF0BC1" w14:paraId="2789E00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08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09" w14:textId="77777777" w:rsidR="00FF0BC1" w:rsidRDefault="00FF0BC1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FF0BC1" w14:paraId="2789E00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0B" w14:textId="77777777" w:rsidR="00FF0BC1" w:rsidRDefault="001A0CA6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0C" w14:textId="764D228B" w:rsidR="00FF0BC1" w:rsidRDefault="00620493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 UR</w:t>
            </w:r>
          </w:p>
        </w:tc>
      </w:tr>
      <w:tr w:rsidR="00FF0BC1" w14:paraId="2789E01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0E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0F" w14:textId="77777777" w:rsidR="00FF0BC1" w:rsidRDefault="001A0CA6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</w:p>
        </w:tc>
      </w:tr>
      <w:tr w:rsidR="00FF0BC1" w14:paraId="2789E01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1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2" w14:textId="77777777" w:rsidR="00FF0BC1" w:rsidRDefault="001A0CA6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Filozofia</w:t>
            </w:r>
          </w:p>
        </w:tc>
      </w:tr>
      <w:tr w:rsidR="00FF0BC1" w14:paraId="2789E01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4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5" w14:textId="77777777" w:rsidR="00FF0BC1" w:rsidRDefault="001A0CA6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podstawowy</w:t>
            </w:r>
          </w:p>
        </w:tc>
      </w:tr>
      <w:tr w:rsidR="00FF0BC1" w14:paraId="2789E01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7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8" w14:textId="77777777" w:rsidR="00FF0BC1" w:rsidRDefault="001A0CA6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Specjalizacyjny</w:t>
            </w:r>
          </w:p>
        </w:tc>
      </w:tr>
      <w:tr w:rsidR="00FF0BC1" w14:paraId="2789E01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A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B" w14:textId="77777777" w:rsidR="00FF0BC1" w:rsidRDefault="001A0CA6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FF0BC1" w14:paraId="2789E01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D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1E" w14:textId="77777777" w:rsidR="00FF0BC1" w:rsidRDefault="001A0CA6">
            <w:pPr>
              <w:pStyle w:val="Odpowiedzi"/>
              <w:snapToGrid w:val="0"/>
              <w:spacing w:before="280" w:after="28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II/3</w:t>
            </w:r>
          </w:p>
        </w:tc>
      </w:tr>
      <w:tr w:rsidR="00FF0BC1" w14:paraId="2789E02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20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21" w14:textId="77777777" w:rsidR="00FF0BC1" w:rsidRDefault="001A0CA6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FF0BC1" w14:paraId="2789E02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23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24" w14:textId="77777777" w:rsidR="00FF0BC1" w:rsidRDefault="001A0CA6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 jako opcja)</w:t>
            </w:r>
          </w:p>
        </w:tc>
      </w:tr>
      <w:tr w:rsidR="00FF0BC1" w14:paraId="2789E02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26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27" w14:textId="77777777" w:rsidR="00FF0BC1" w:rsidRDefault="001A0CA6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FF0BC1" w14:paraId="2789E02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29" w14:textId="77777777" w:rsidR="00FF0BC1" w:rsidRDefault="001A0CA6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2A" w14:textId="77777777" w:rsidR="00FF0BC1" w:rsidRDefault="001A0CA6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2789E02C" w14:textId="77777777" w:rsidR="00FF0BC1" w:rsidRDefault="001A0CA6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2789E02D" w14:textId="77777777" w:rsidR="00FF0BC1" w:rsidRDefault="00FF0BC1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2789E02E" w14:textId="77777777" w:rsidR="00FF0BC1" w:rsidRDefault="001A0CA6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2789E02F" w14:textId="77777777" w:rsidR="00FF0BC1" w:rsidRDefault="00FF0BC1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27" w:type="dxa"/>
        <w:tblInd w:w="-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48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FF0BC1" w14:paraId="2789E03B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30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2789E031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2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3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4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5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6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7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8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9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A" w14:textId="77777777" w:rsidR="00FF0BC1" w:rsidRDefault="001A0CA6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FF0BC1" w14:paraId="2789E046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3C" w14:textId="77777777" w:rsidR="00FF0BC1" w:rsidRDefault="001A0CA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D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E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3F" w14:textId="77777777" w:rsidR="00FF0BC1" w:rsidRDefault="001A0CA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0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1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2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3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4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5" w14:textId="77777777" w:rsidR="00FF0BC1" w:rsidRDefault="001A0CA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</w:tr>
      <w:tr w:rsidR="00FF0BC1" w14:paraId="2789E051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47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8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9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A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B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C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D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E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4F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50" w14:textId="77777777" w:rsidR="00FF0BC1" w:rsidRDefault="00FF0BC1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2789E052" w14:textId="77777777" w:rsidR="00FF0BC1" w:rsidRDefault="00FF0BC1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2789E053" w14:textId="77777777" w:rsidR="00FF0BC1" w:rsidRDefault="00FF0BC1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2789E054" w14:textId="77777777" w:rsidR="00FF0BC1" w:rsidRDefault="001A0CA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2789E055" w14:textId="77777777" w:rsidR="00FF0BC1" w:rsidRDefault="001A0CA6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 xml:space="preserve">zajęcia w formie tradycyjnej </w:t>
      </w:r>
    </w:p>
    <w:p w14:paraId="2789E056" w14:textId="77777777" w:rsidR="00FF0BC1" w:rsidRDefault="001A0CA6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14:paraId="2789E057" w14:textId="77777777" w:rsidR="00FF0BC1" w:rsidRDefault="00FF0BC1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789E058" w14:textId="77777777" w:rsidR="00FF0BC1" w:rsidRDefault="001A0CA6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14:paraId="2789E059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789E05A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789E05B" w14:textId="77777777" w:rsidR="00FF0BC1" w:rsidRDefault="001A0CA6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20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FF0BC1" w14:paraId="2789E06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5C" w14:textId="77777777" w:rsidR="00FF0BC1" w:rsidRDefault="00FF0BC1">
            <w:pPr>
              <w:pStyle w:val="Punktygwne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14:paraId="2789E05D" w14:textId="77777777" w:rsidR="00FF0BC1" w:rsidRDefault="001A0CA6">
            <w:pPr>
              <w:pStyle w:val="Tekstpodstawowy"/>
              <w:spacing w:before="40" w:after="40"/>
            </w:pPr>
            <w:r>
              <w:rPr>
                <w:rFonts w:ascii="Calibri;Calibri_EmbeddedFont" w:hAnsi="Calibri;Calibri_EmbeddedFont" w:cs="Calibri;Calibri_EmbeddedFont"/>
                <w:color w:val="000000"/>
                <w:sz w:val="24"/>
                <w:szCs w:val="24"/>
              </w:rPr>
              <w:t>Podstawowa wiedza ogólna z zakresu nauk o kulturze;</w:t>
            </w:r>
            <w:r>
              <w:rPr>
                <w:rFonts w:ascii="Corbel" w:hAnsi="Corbel" w:cs="Corbel"/>
                <w:color w:val="000000"/>
                <w:sz w:val="24"/>
                <w:szCs w:val="24"/>
              </w:rPr>
              <w:t xml:space="preserve"> wiedza z zakresu filozofii społecznej i filozofii moralnej (w tym np. filozofii polityki) na poziomie I stopnia studiów.</w:t>
            </w:r>
          </w:p>
          <w:p w14:paraId="2789E05E" w14:textId="77777777" w:rsidR="00FF0BC1" w:rsidRDefault="001A0CA6">
            <w:pPr>
              <w:pStyle w:val="Tekstpodstawowy"/>
              <w:spacing w:before="30" w:after="30" w:line="315" w:lineRule="atLeast"/>
              <w:rPr>
                <w:rFonts w:ascii="Corbel;Corbel_EmbeddedFont" w:hAnsi="Corbel;Corbel_EmbeddedFont" w:cs="Corbel;Corbel_EmbeddedFont"/>
                <w:color w:val="000000"/>
                <w:sz w:val="24"/>
              </w:rPr>
            </w:pPr>
            <w:r>
              <w:rPr>
                <w:rFonts w:ascii="Corbel;Corbel_EmbeddedFont" w:hAnsi="Corbel;Corbel_EmbeddedFont" w:cs="Corbel;Corbel_EmbeddedFont"/>
                <w:color w:val="000000"/>
                <w:sz w:val="24"/>
              </w:rPr>
              <w:t>Zalecana znajomość języka angielskiego na poziomie pozwalającym na lekturę tekstów w tym języku. (B2)</w:t>
            </w:r>
          </w:p>
          <w:p w14:paraId="2789E05F" w14:textId="77777777" w:rsidR="00FF0BC1" w:rsidRDefault="00FF0BC1">
            <w:pPr>
              <w:pStyle w:val="Tekstpodstawowy"/>
              <w:spacing w:before="30" w:after="30" w:line="315" w:lineRule="atLeast"/>
            </w:pPr>
          </w:p>
          <w:p w14:paraId="2789E060" w14:textId="77777777" w:rsidR="00FF0BC1" w:rsidRDefault="001A0CA6">
            <w:pPr>
              <w:pStyle w:val="Tekstpodstawowy"/>
              <w:spacing w:before="30" w:after="30" w:line="315" w:lineRule="atLeast"/>
            </w:pPr>
            <w:r>
              <w:rPr>
                <w:rFonts w:ascii="Corbel;Corbel_EmbeddedFont" w:hAnsi="Corbel;Corbel_EmbeddedFont" w:cs="Corbel;Corbel_EmbeddedFont"/>
                <w:b/>
                <w:bCs/>
                <w:color w:val="000000"/>
                <w:sz w:val="24"/>
              </w:rPr>
              <w:t xml:space="preserve">UWAGA: przedmiot realizuje założenia programowe projektu: </w:t>
            </w:r>
            <w:r>
              <w:rPr>
                <w:rFonts w:ascii="Corbel;Corbel_EmbeddedFont" w:hAnsi="Corbel;Corbel_EmbeddedFont" w:cs="Corbel;Corbel_EmbeddedFont"/>
                <w:b/>
                <w:bCs/>
                <w:i/>
                <w:iCs/>
                <w:color w:val="000000"/>
                <w:sz w:val="24"/>
              </w:rPr>
              <w:t>ewaluacja wieloczynnikowa w dydaktyce akademickiej</w:t>
            </w:r>
          </w:p>
          <w:p w14:paraId="2789E061" w14:textId="77777777" w:rsidR="00FF0BC1" w:rsidRDefault="00FF0BC1">
            <w:pPr>
              <w:pStyle w:val="Tekstpodstawowy"/>
              <w:spacing w:before="30" w:after="30" w:line="315" w:lineRule="atLeast"/>
            </w:pPr>
          </w:p>
          <w:p w14:paraId="2789E062" w14:textId="77777777" w:rsidR="00FF0BC1" w:rsidRDefault="00FF0BC1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789E064" w14:textId="77777777" w:rsidR="00FF0BC1" w:rsidRDefault="00FF0BC1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789E065" w14:textId="77777777" w:rsidR="00FF0BC1" w:rsidRDefault="001A0CA6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14:paraId="2789E066" w14:textId="77777777" w:rsidR="00FF0BC1" w:rsidRDefault="00FF0BC1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789E067" w14:textId="77777777" w:rsidR="00FF0BC1" w:rsidRDefault="001A0CA6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2789E068" w14:textId="77777777" w:rsidR="00FF0BC1" w:rsidRDefault="00FF0BC1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9519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844"/>
        <w:gridCol w:w="8675"/>
      </w:tblGrid>
      <w:tr w:rsidR="00FF0BC1" w14:paraId="2789E06E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69" w14:textId="77777777" w:rsidR="00FF0BC1" w:rsidRDefault="001A0CA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6A" w14:textId="77777777" w:rsidR="00FF0BC1" w:rsidRDefault="00FF0BC1">
            <w:pPr>
              <w:pStyle w:val="Tekstpodstawowy"/>
              <w:snapToGrid w:val="0"/>
              <w:spacing w:before="40" w:after="40"/>
              <w:rPr>
                <w:rFonts w:ascii="Arial CE;Arial CE_EmbeddedFont" w:hAnsi="Arial CE;Arial CE_EmbeddedFont" w:cs="Arial CE;Arial CE_EmbeddedFont"/>
                <w:sz w:val="20"/>
                <w:szCs w:val="24"/>
              </w:rPr>
            </w:pPr>
          </w:p>
          <w:p w14:paraId="2789E06B" w14:textId="77777777" w:rsidR="00FF0BC1" w:rsidRDefault="001A0CA6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Zadaniem przedmiotu jest wprowadzenie słuchaczy w materię zarówno historycznej jak i współczesnej refleksji nad rolą i znaczeniem nierówności i wykluczeń  społecznych jak i praktykami tychże.</w:t>
            </w:r>
          </w:p>
          <w:p w14:paraId="2789E06C" w14:textId="77777777" w:rsidR="00FF0BC1" w:rsidRDefault="001A0CA6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Z racji, że zagadnienie jest bardzo obszerne zajecia są skupione przede wszystkim na wprowadzeniu do (1)  zgeneralizowanych modeli nierówności i wykluczeń, ich źródeł, zakresu interesu poznawczego i społecznego, budowanej przez nie polityki etc. (2) dyskursów nierówności (racjonalizacji, uzasadnień i aksjologii tychze) (3) analizy 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lastRenderedPageBreak/>
              <w:t>praktyk (polityk, filozofii, pedagogiki etc.) (4) wprowadzenia do krytycznej refleksji nad praktykami emancypacji i ich problemami</w:t>
            </w:r>
          </w:p>
          <w:p w14:paraId="2789E06D" w14:textId="77777777" w:rsidR="00FF0BC1" w:rsidRDefault="00FF0BC1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FF0BC1" w14:paraId="2789E071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6F" w14:textId="77777777" w:rsidR="00FF0BC1" w:rsidRDefault="001A0CA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…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70" w14:textId="77777777" w:rsidR="00FF0BC1" w:rsidRDefault="00FF0BC1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FF0BC1" w14:paraId="2789E07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72" w14:textId="77777777" w:rsidR="00FF0BC1" w:rsidRDefault="001A0CA6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Cn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73" w14:textId="77777777" w:rsidR="00FF0BC1" w:rsidRDefault="00FF0BC1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</w:tbl>
    <w:p w14:paraId="2789E075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2789E076" w14:textId="77777777" w:rsidR="00FF0BC1" w:rsidRDefault="001A0CA6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2789E077" w14:textId="77777777" w:rsidR="00FF0BC1" w:rsidRDefault="00FF0BC1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20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681"/>
        <w:gridCol w:w="5974"/>
        <w:gridCol w:w="1865"/>
      </w:tblGrid>
      <w:tr w:rsidR="00FF0BC1" w14:paraId="2789E07B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78" w14:textId="77777777" w:rsidR="00FF0BC1" w:rsidRDefault="001A0CA6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79" w14:textId="77777777" w:rsidR="00FF0BC1" w:rsidRDefault="001A0CA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7A" w14:textId="77777777" w:rsidR="00FF0BC1" w:rsidRDefault="001A0CA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F0BC1" w14:paraId="2789E080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7C" w14:textId="77777777" w:rsidR="00FF0BC1" w:rsidRDefault="001A0CA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7D" w14:textId="77777777" w:rsidR="00FF0BC1" w:rsidRDefault="001A0CA6">
            <w:pPr>
              <w:pStyle w:val="Tekstpodstawowy"/>
              <w:snapToGrid w:val="0"/>
              <w:spacing w:after="0" w:line="285" w:lineRule="atLeast"/>
              <w:rPr>
                <w:rFonts w:ascii="Arial CE;Arial CE_EmbeddedFont" w:hAnsi="Arial CE;Arial CE_EmbeddedFont" w:cs="Arial CE;Arial CE_EmbeddedFont"/>
                <w:sz w:val="20"/>
                <w:szCs w:val="24"/>
              </w:rPr>
            </w:pPr>
            <w:r>
              <w:rPr>
                <w:rFonts w:ascii="Arial CE;Arial CE_EmbeddedFont" w:hAnsi="Arial CE;Arial CE_EmbeddedFont" w:cs="Arial CE;Arial CE_EmbeddedFont"/>
                <w:sz w:val="20"/>
                <w:szCs w:val="24"/>
              </w:rPr>
              <w:t xml:space="preserve">Słuchacz zna i rozumie zagadnienia związane z problematyką wykluczenia i nierówności zarówno w ich historycznym jak i współczesnym kontekście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7E" w14:textId="77777777" w:rsidR="00FF0BC1" w:rsidRDefault="00FF0BC1">
            <w:pPr>
              <w:pStyle w:val="Tekstpodstawowy"/>
              <w:snapToGrid w:val="0"/>
              <w:spacing w:after="0"/>
            </w:pPr>
          </w:p>
          <w:p w14:paraId="2789E07F" w14:textId="77777777" w:rsidR="00FF0BC1" w:rsidRDefault="001A0CA6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K_W02, K_W03</w:t>
            </w:r>
          </w:p>
        </w:tc>
      </w:tr>
      <w:tr w:rsidR="00FF0BC1" w14:paraId="2789E084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81" w14:textId="77777777" w:rsidR="00FF0BC1" w:rsidRDefault="001A0CA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82" w14:textId="77777777" w:rsidR="00FF0BC1" w:rsidRDefault="001A0CA6">
            <w:pPr>
              <w:pStyle w:val="Tekstpodstawowy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Słuchacz potrafi zidentyfikować i wskazać struktury  nierówności i wykluczeń używając empirycznych przykładów (analizując dyskursy, artefakty bądź praktyki)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83" w14:textId="77777777" w:rsidR="00FF0BC1" w:rsidRDefault="001A0CA6">
            <w:pPr>
              <w:pStyle w:val="Punktygwne"/>
              <w:snapToGrid w:val="0"/>
              <w:spacing w:before="0" w:after="0"/>
              <w:rPr>
                <w:rFonts w:ascii="Arial CE;Arial CE_EmbeddedFont" w:hAnsi="Arial CE;Arial CE_EmbeddedFont" w:cs="Arial CE;Arial CE_EmbeddedFont"/>
                <w:b w:val="0"/>
                <w:smallCaps w:val="0"/>
                <w:sz w:val="20"/>
                <w:szCs w:val="24"/>
              </w:rPr>
            </w:pPr>
            <w:r>
              <w:rPr>
                <w:rFonts w:ascii="Arial CE;Arial CE_EmbeddedFont" w:hAnsi="Arial CE;Arial CE_EmbeddedFont" w:cs="Arial CE;Arial CE_EmbeddedFont"/>
                <w:b w:val="0"/>
                <w:smallCaps w:val="0"/>
                <w:sz w:val="20"/>
                <w:szCs w:val="24"/>
              </w:rPr>
              <w:t>K_U01, K_K02</w:t>
            </w:r>
          </w:p>
        </w:tc>
      </w:tr>
      <w:tr w:rsidR="00FF0BC1" w14:paraId="2789E08B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85" w14:textId="77777777" w:rsidR="00FF0BC1" w:rsidRDefault="001A0CA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86" w14:textId="77777777" w:rsidR="00FF0BC1" w:rsidRDefault="00FF0BC1">
            <w:pPr>
              <w:pStyle w:val="Tekstpodstawowy"/>
              <w:snapToGrid w:val="0"/>
              <w:spacing w:after="0"/>
              <w:rPr>
                <w:rFonts w:ascii="Arial CE;Arial CE_EmbeddedFont" w:hAnsi="Arial CE;Arial CE_EmbeddedFont" w:cs="Arial CE;Arial CE_EmbeddedFont"/>
                <w:sz w:val="20"/>
                <w:szCs w:val="24"/>
              </w:rPr>
            </w:pPr>
          </w:p>
          <w:p w14:paraId="2789E087" w14:textId="77777777" w:rsidR="00FF0BC1" w:rsidRDefault="001A0CA6">
            <w:pPr>
              <w:pStyle w:val="Tekstpodstawowy"/>
              <w:snapToGrid w:val="0"/>
              <w:spacing w:after="0"/>
            </w:pPr>
            <w:r>
              <w:t>Słuchacz jest gotów do aktywności związanej z identyfikacją, krytyką (i ew. korektą) zachowań, praktyk i uzasadnień tak własnych jak i swojej grupy uczestnictwa.</w:t>
            </w:r>
          </w:p>
          <w:p w14:paraId="2789E088" w14:textId="77777777" w:rsidR="00FF0BC1" w:rsidRDefault="00FF0BC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89" w14:textId="77777777" w:rsidR="00FF0BC1" w:rsidRDefault="00FF0BC1">
            <w:pPr>
              <w:pStyle w:val="Tekstpodstawowy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  <w:p w14:paraId="2789E08A" w14:textId="77777777" w:rsidR="00FF0BC1" w:rsidRDefault="001A0CA6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K_K02</w:t>
            </w:r>
          </w:p>
        </w:tc>
      </w:tr>
      <w:tr w:rsidR="00FF0BC1" w14:paraId="2789E091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8C" w14:textId="77777777" w:rsidR="00FF0BC1" w:rsidRDefault="00FF0BC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8D" w14:textId="77777777" w:rsidR="00FF0BC1" w:rsidRDefault="00FF0BC1">
            <w:pPr>
              <w:pStyle w:val="Tekstpodstawowy"/>
              <w:snapToGrid w:val="0"/>
              <w:spacing w:after="0"/>
              <w:rPr>
                <w:rFonts w:ascii="Arial CE;Arial CE_EmbeddedFont" w:hAnsi="Arial CE;Arial CE_EmbeddedFont" w:cs="Arial CE;Arial CE_EmbeddedFont"/>
                <w:sz w:val="20"/>
                <w:szCs w:val="24"/>
              </w:rPr>
            </w:pPr>
          </w:p>
          <w:p w14:paraId="2789E08E" w14:textId="77777777" w:rsidR="00FF0BC1" w:rsidRDefault="00FF0BC1">
            <w:pPr>
              <w:pStyle w:val="Tekstpodstawowy"/>
              <w:snapToGrid w:val="0"/>
              <w:spacing w:after="0"/>
              <w:rPr>
                <w:rFonts w:ascii="Corbel" w:hAnsi="Corbel" w:cs="Corbel"/>
                <w:sz w:val="20"/>
                <w:szCs w:val="24"/>
              </w:rPr>
            </w:pP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8F" w14:textId="77777777" w:rsidR="00FF0BC1" w:rsidRDefault="00FF0BC1">
            <w:pPr>
              <w:pStyle w:val="Tekstpodstawowy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  <w:p w14:paraId="2789E090" w14:textId="77777777" w:rsidR="00FF0BC1" w:rsidRDefault="00FF0BC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2789E092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789E093" w14:textId="77777777" w:rsidR="00FF0BC1" w:rsidRDefault="001A0CA6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2789E094" w14:textId="77777777" w:rsidR="00FF0BC1" w:rsidRDefault="001A0CA6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14:paraId="2789E095" w14:textId="77777777" w:rsidR="00FF0BC1" w:rsidRDefault="00FF0BC1">
      <w:pPr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  <w:bookmarkStart w:id="1" w:name="WACViewPanel_ClipboardElement10"/>
      <w:bookmarkEnd w:id="1"/>
    </w:p>
    <w:p w14:paraId="2789E096" w14:textId="77777777" w:rsidR="00FF0BC1" w:rsidRDefault="00FF0BC1">
      <w:pPr>
        <w:sectPr w:rsidR="00FF0BC1">
          <w:pgSz w:w="11906" w:h="16838"/>
          <w:pgMar w:top="1134" w:right="1134" w:bottom="1134" w:left="1134" w:header="0" w:footer="0" w:gutter="0"/>
          <w:cols w:space="708"/>
          <w:formProt w:val="0"/>
          <w:docGrid w:linePitch="360"/>
        </w:sectPr>
      </w:pPr>
    </w:p>
    <w:p w14:paraId="2789E097" w14:textId="77777777" w:rsidR="00FF0BC1" w:rsidRDefault="00FF0BC1">
      <w:pPr>
        <w:rPr>
          <w:rFonts w:ascii="Corbel" w:hAnsi="Corbel" w:cs="Corbel"/>
          <w:sz w:val="24"/>
          <w:szCs w:val="24"/>
        </w:rPr>
      </w:pPr>
    </w:p>
    <w:p w14:paraId="2789E098" w14:textId="77777777" w:rsidR="00FF0BC1" w:rsidRDefault="00FF0BC1">
      <w:pPr>
        <w:sectPr w:rsidR="00FF0BC1">
          <w:type w:val="continuous"/>
          <w:pgSz w:w="11906" w:h="16838"/>
          <w:pgMar w:top="1134" w:right="1134" w:bottom="1134" w:left="1134" w:header="0" w:footer="0" w:gutter="0"/>
          <w:cols w:space="708"/>
          <w:formProt w:val="0"/>
          <w:docGrid w:linePitch="360"/>
        </w:sectPr>
      </w:pPr>
    </w:p>
    <w:tbl>
      <w:tblPr>
        <w:tblW w:w="9638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8"/>
      </w:tblGrid>
      <w:tr w:rsidR="00FF0BC1" w14:paraId="2789E09A" w14:textId="77777777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9E099" w14:textId="77777777" w:rsidR="00FF0BC1" w:rsidRDefault="001A0CA6">
            <w:pPr>
              <w:pStyle w:val="TableContents"/>
              <w:spacing w:after="0" w:line="285" w:lineRule="atLeast"/>
              <w:ind w:firstLine="240"/>
            </w:pPr>
            <w:r>
              <w:rPr>
                <w:rFonts w:ascii="Corbel;Corbel_EmbeddedFont" w:hAnsi="Corbel;Corbel_EmbeddedFont" w:cs="Corbel;Corbel_EmbeddedFont"/>
                <w:sz w:val="24"/>
              </w:rPr>
              <w:lastRenderedPageBreak/>
              <w:t>Treści merytoryczne</w:t>
            </w:r>
            <w:r>
              <w:t> </w:t>
            </w:r>
          </w:p>
        </w:tc>
      </w:tr>
      <w:tr w:rsidR="00FF0BC1" w14:paraId="2789E09C" w14:textId="77777777">
        <w:tc>
          <w:tcPr>
            <w:tcW w:w="9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9E09B" w14:textId="77777777" w:rsidR="00FF0BC1" w:rsidRDefault="00FF0BC1">
            <w:pPr>
              <w:pStyle w:val="TableContents"/>
              <w:snapToGrid w:val="0"/>
              <w:spacing w:after="0" w:line="270" w:lineRule="atLeast"/>
              <w:ind w:firstLine="240"/>
            </w:pPr>
          </w:p>
        </w:tc>
      </w:tr>
    </w:tbl>
    <w:p w14:paraId="2789E09D" w14:textId="77777777" w:rsidR="00FF0BC1" w:rsidRDefault="00FF0BC1">
      <w:pPr>
        <w:sectPr w:rsidR="00FF0BC1">
          <w:type w:val="continuous"/>
          <w:pgSz w:w="11906" w:h="16838"/>
          <w:pgMar w:top="1134" w:right="1134" w:bottom="1134" w:left="1134" w:header="0" w:footer="0" w:gutter="0"/>
          <w:cols w:space="708"/>
          <w:formProt w:val="0"/>
          <w:docGrid w:linePitch="360"/>
        </w:sectPr>
      </w:pPr>
    </w:p>
    <w:p w14:paraId="2789E09E" w14:textId="77777777" w:rsidR="00FF0BC1" w:rsidRDefault="00FF0BC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</w:p>
    <w:p w14:paraId="2789E09F" w14:textId="77777777" w:rsidR="00FF0BC1" w:rsidRDefault="00FF0BC1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p w14:paraId="2789E0A0" w14:textId="77777777" w:rsidR="00FF0BC1" w:rsidRDefault="001A0CA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2789E0A1" w14:textId="77777777" w:rsidR="00FF0BC1" w:rsidRDefault="00FF0BC1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20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FF0BC1" w14:paraId="2789E0A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A2" w14:textId="77777777" w:rsidR="00FF0BC1" w:rsidRDefault="001A0CA6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FF0BC1" w:rsidRPr="00E10D45" w14:paraId="2789E0A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A4" w14:textId="77777777" w:rsidR="00FF0BC1" w:rsidRDefault="001A0CA6">
            <w:pPr>
              <w:pStyle w:val="TableContents"/>
              <w:spacing w:after="0" w:line="270" w:lineRule="atLeast"/>
              <w:ind w:firstLine="240"/>
            </w:pPr>
            <w:r>
              <w:t>Materiał wprowadzający:</w:t>
            </w:r>
          </w:p>
          <w:p w14:paraId="2789E0A5" w14:textId="77777777" w:rsidR="00FF0BC1" w:rsidRDefault="001A0CA6">
            <w:pPr>
              <w:pStyle w:val="TableContents"/>
              <w:spacing w:after="0" w:line="270" w:lineRule="atLeast"/>
              <w:ind w:firstLine="240"/>
            </w:pPr>
            <w:r>
              <w:t xml:space="preserve">Historyczny dyskurs o nierównościach: </w:t>
            </w:r>
          </w:p>
          <w:p w14:paraId="2789E0A6" w14:textId="77777777" w:rsidR="00FF0BC1" w:rsidRDefault="001A0CA6">
            <w:pPr>
              <w:pStyle w:val="TableContents"/>
              <w:spacing w:after="0" w:line="270" w:lineRule="atLeast"/>
              <w:ind w:firstLine="240"/>
            </w:pPr>
            <w:r>
              <w:t>Arystoteles, Rousseau, Locke (przykłady modeli trójczynnikowych ład/status/moc)</w:t>
            </w:r>
          </w:p>
          <w:p w14:paraId="2789E0A7" w14:textId="77777777" w:rsidR="00FF0BC1" w:rsidRDefault="001A0CA6">
            <w:pPr>
              <w:pStyle w:val="TableContents"/>
              <w:spacing w:after="0" w:line="270" w:lineRule="atLeast"/>
              <w:ind w:firstLine="240"/>
            </w:pPr>
            <w:r>
              <w:lastRenderedPageBreak/>
              <w:t>Krytyki i analizy klasyczne:</w:t>
            </w:r>
          </w:p>
          <w:p w14:paraId="2789E0A8" w14:textId="77777777" w:rsidR="00FF0BC1" w:rsidRDefault="001A0CA6">
            <w:pPr>
              <w:pStyle w:val="TableContents"/>
              <w:spacing w:after="0" w:line="270" w:lineRule="atLeast"/>
              <w:ind w:firstLine="240"/>
            </w:pPr>
            <w:r>
              <w:t>Karol Marks, Max Weber</w:t>
            </w:r>
          </w:p>
          <w:p w14:paraId="2789E0A9" w14:textId="77777777" w:rsidR="00FF0BC1" w:rsidRPr="00E10D45" w:rsidRDefault="001A0CA6">
            <w:pPr>
              <w:pStyle w:val="TableContents"/>
              <w:spacing w:after="0" w:line="270" w:lineRule="atLeast"/>
              <w:ind w:firstLine="240"/>
              <w:rPr>
                <w:lang w:val="en-GB"/>
              </w:rPr>
            </w:pPr>
            <w:r w:rsidRPr="00E10D45">
              <w:rPr>
                <w:lang w:val="en-GB"/>
              </w:rPr>
              <w:t>wybrane analizy XX wieku:</w:t>
            </w:r>
          </w:p>
          <w:p w14:paraId="2789E0AA" w14:textId="77777777" w:rsidR="00FF0BC1" w:rsidRPr="00E10D45" w:rsidRDefault="001A0CA6">
            <w:pPr>
              <w:pStyle w:val="TableContents"/>
              <w:spacing w:after="0" w:line="270" w:lineRule="atLeast"/>
              <w:ind w:firstLine="240"/>
              <w:rPr>
                <w:lang w:val="en-GB"/>
              </w:rPr>
            </w:pPr>
            <w:r w:rsidRPr="00E10D45">
              <w:rPr>
                <w:lang w:val="en-GB"/>
              </w:rPr>
              <w:t>Bourdieu, Latour, Passeron, Rawls, Beck, Curran</w:t>
            </w:r>
          </w:p>
        </w:tc>
      </w:tr>
      <w:tr w:rsidR="00FF0BC1" w14:paraId="2789E0A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AC" w14:textId="77777777" w:rsidR="00FF0BC1" w:rsidRDefault="001A0CA6">
            <w:pPr>
              <w:pStyle w:val="TableContents"/>
              <w:spacing w:after="0" w:line="270" w:lineRule="atLeast"/>
              <w:ind w:firstLine="240"/>
            </w:pPr>
            <w:r>
              <w:lastRenderedPageBreak/>
              <w:t>‘Różnica społeczna’ – postaci społecznego zróżnicowania (ekonomia, modele dystrybucji i konkurencji, zróznicowanie dostepu) i ‘natura ludzka’ (bądź ‘naturalność’) – zróżnicowanie, nierówność, dyskryminacja i wykluczenie</w:t>
            </w:r>
          </w:p>
        </w:tc>
      </w:tr>
      <w:tr w:rsidR="00FF0BC1" w14:paraId="2789E0A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AE" w14:textId="77777777" w:rsidR="00FF0BC1" w:rsidRDefault="001A0CA6">
            <w:pPr>
              <w:pStyle w:val="TableContents"/>
              <w:spacing w:after="0" w:line="255" w:lineRule="atLeast"/>
              <w:ind w:firstLine="240"/>
            </w:pPr>
            <w:r>
              <w:t>Polityki i praktyki nierówności i wykluczenia – społeczne i dyskursywne (w tym intelektualne) praktyki nierówności i wykluczeń, ideologie dyskryminacji i ich kategorie (rasa, etniczność, płeć, gatunek, klasa etc.), pedagogiki i nauki nierówności i  wykluczeń</w:t>
            </w:r>
          </w:p>
        </w:tc>
      </w:tr>
      <w:tr w:rsidR="00FF0BC1" w14:paraId="2789E0B1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B0" w14:textId="77777777" w:rsidR="00FF0BC1" w:rsidRDefault="001A0CA6">
            <w:pPr>
              <w:pStyle w:val="TableContents"/>
              <w:spacing w:after="0" w:line="270" w:lineRule="atLeast"/>
              <w:ind w:firstLine="240"/>
            </w:pPr>
            <w:r>
              <w:rPr>
                <w:rFonts w:ascii="Calibri;sans-serif" w:hAnsi="Calibri;sans-serif" w:cs="Calibri;sans-serif"/>
                <w:sz w:val="24"/>
              </w:rPr>
              <w:t>Nierówności, wykluczenia, emancypacja i inkluzywność – problemy identyfikacji, problemy dyskursywne (zależność dyskursywna), interesy emancypacyjne i sprzeczności z tym zwiazane.</w:t>
            </w:r>
          </w:p>
        </w:tc>
      </w:tr>
      <w:tr w:rsidR="00FF0BC1" w14:paraId="2789E0B3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B2" w14:textId="77777777" w:rsidR="00FF0BC1" w:rsidRDefault="00FF0BC1">
            <w:pPr>
              <w:pStyle w:val="TableContents"/>
              <w:spacing w:after="0" w:line="285" w:lineRule="atLeast"/>
              <w:ind w:firstLine="240"/>
            </w:pPr>
          </w:p>
        </w:tc>
      </w:tr>
      <w:tr w:rsidR="00FF0BC1" w14:paraId="2789E0B5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B4" w14:textId="77777777" w:rsidR="00FF0BC1" w:rsidRDefault="00FF0BC1">
            <w:pPr>
              <w:pStyle w:val="TableContents"/>
              <w:spacing w:after="0" w:line="270" w:lineRule="atLeast"/>
              <w:ind w:firstLine="240"/>
            </w:pPr>
          </w:p>
        </w:tc>
      </w:tr>
      <w:tr w:rsidR="00FF0BC1" w14:paraId="2789E0B7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B6" w14:textId="77777777" w:rsidR="00FF0BC1" w:rsidRDefault="00FF0BC1">
            <w:pPr>
              <w:pStyle w:val="TableContents"/>
              <w:spacing w:after="0" w:line="270" w:lineRule="atLeast"/>
              <w:ind w:firstLine="240"/>
            </w:pPr>
          </w:p>
        </w:tc>
      </w:tr>
      <w:tr w:rsidR="00FF0BC1" w14:paraId="2789E0B9" w14:textId="77777777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B8" w14:textId="77777777" w:rsidR="00FF0BC1" w:rsidRDefault="00FF0BC1">
            <w:pPr>
              <w:pStyle w:val="TableContents"/>
              <w:spacing w:after="0" w:line="270" w:lineRule="atLeast"/>
              <w:ind w:firstLine="240"/>
            </w:pPr>
          </w:p>
        </w:tc>
      </w:tr>
    </w:tbl>
    <w:p w14:paraId="2789E0BA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789E0BB" w14:textId="77777777" w:rsidR="00FF0BC1" w:rsidRDefault="001A0CA6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2789E0BC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789E0BD" w14:textId="77777777" w:rsidR="00FF0BC1" w:rsidRDefault="001A0CA6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14:paraId="2789E0BE" w14:textId="77777777" w:rsidR="00FF0BC1" w:rsidRDefault="001A0CA6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2789E0BF" w14:textId="77777777" w:rsidR="00FF0BC1" w:rsidRDefault="001A0CA6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>analiza tekstów z dyskusją, metoda projektów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 (projekt badawczy, wdrożeniowy, praktyczny), praca w grupach (rozwiązywanie zadań, dyskusja),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>gry dydaktyczne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14:paraId="2789E0C0" w14:textId="77777777" w:rsidR="00FF0BC1" w:rsidRDefault="001A0CA6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2789E0C1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789E0C2" w14:textId="77777777" w:rsidR="00FF0BC1" w:rsidRDefault="00FF0BC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789E0C3" w14:textId="77777777" w:rsidR="00FF0BC1" w:rsidRDefault="00FF0BC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789E0C4" w14:textId="77777777" w:rsidR="00FF0BC1" w:rsidRDefault="00FF0BC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789E0C5" w14:textId="77777777" w:rsidR="00FF0BC1" w:rsidRDefault="00FF0BC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789E0C6" w14:textId="77777777" w:rsidR="00FF0BC1" w:rsidRDefault="001A0CA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789E0C7" w14:textId="77777777" w:rsidR="00FF0BC1" w:rsidRDefault="00FF0BC1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2789E0C8" w14:textId="77777777" w:rsidR="00FF0BC1" w:rsidRDefault="001A0CA6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2789E0C9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0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962"/>
        <w:gridCol w:w="5440"/>
        <w:gridCol w:w="2118"/>
      </w:tblGrid>
      <w:tr w:rsidR="00FF0BC1" w14:paraId="2789E0C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CA" w14:textId="77777777" w:rsidR="00FF0BC1" w:rsidRDefault="001A0CA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CB" w14:textId="77777777" w:rsidR="00FF0BC1" w:rsidRDefault="001A0CA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789E0CC" w14:textId="77777777" w:rsidR="00FF0BC1" w:rsidRDefault="001A0CA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CD" w14:textId="77777777" w:rsidR="00FF0BC1" w:rsidRDefault="001A0CA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89E0CE" w14:textId="77777777" w:rsidR="00FF0BC1" w:rsidRDefault="001A0CA6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FF0BC1" w14:paraId="2789E0D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D0" w14:textId="77777777" w:rsidR="00FF0BC1" w:rsidRDefault="001A0CA6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01 - EK_04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D1" w14:textId="77777777" w:rsidR="00FF0BC1" w:rsidRDefault="001A0CA6">
            <w:pPr>
              <w:pStyle w:val="Tekstpodstawowy"/>
              <w:snapToGrid w:val="0"/>
              <w:spacing w:after="0"/>
              <w:rPr>
                <w:rFonts w:ascii="Corbel;Corbel_EmbeddedFont" w:hAnsi="Corbel;Corbel_EmbeddedFont" w:cs="Corbel;Corbel_EmbeddedFont"/>
                <w:smallCaps/>
                <w:sz w:val="24"/>
                <w:szCs w:val="24"/>
              </w:rPr>
            </w:pPr>
            <w:bookmarkStart w:id="2" w:name="WACViewPanel_ClipboardElement11"/>
            <w:bookmarkEnd w:id="2"/>
            <w:r>
              <w:rPr>
                <w:rFonts w:ascii="Corbel;Corbel_EmbeddedFont" w:hAnsi="Corbel;Corbel_EmbeddedFont" w:cs="Corbel;Corbel_EmbeddedFont"/>
                <w:smallCaps/>
                <w:sz w:val="24"/>
                <w:szCs w:val="24"/>
              </w:rPr>
              <w:t>Aktywna dyskusja, wykonanie wszystkich zadań pomocniczych (case studies)</w:t>
            </w:r>
          </w:p>
          <w:p w14:paraId="2789E0D2" w14:textId="77777777" w:rsidR="00FF0BC1" w:rsidRDefault="00FF0BC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trike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D3" w14:textId="77777777" w:rsidR="00FF0BC1" w:rsidRDefault="001A0CA6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K</w:t>
            </w:r>
          </w:p>
        </w:tc>
      </w:tr>
      <w:tr w:rsidR="00FF0BC1" w14:paraId="2789E0D8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D5" w14:textId="77777777" w:rsidR="00FF0BC1" w:rsidRDefault="001A0CA6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D6" w14:textId="77777777" w:rsidR="00FF0BC1" w:rsidRDefault="00FF0BC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D7" w14:textId="77777777" w:rsidR="00FF0BC1" w:rsidRDefault="00FF0BC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</w:tr>
    </w:tbl>
    <w:p w14:paraId="2789E0D9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789E0DA" w14:textId="77777777" w:rsidR="00FF0BC1" w:rsidRDefault="001A0CA6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2789E0DB" w14:textId="77777777" w:rsidR="00FF0BC1" w:rsidRDefault="00FF0BC1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20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20"/>
      </w:tblGrid>
      <w:tr w:rsidR="00FF0BC1" w14:paraId="2789E0F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0DC" w14:textId="77777777" w:rsidR="00FF0BC1" w:rsidRDefault="00FF0BC1">
            <w:pPr>
              <w:pStyle w:val="Tekstpodstawowy"/>
              <w:snapToGrid w:val="0"/>
              <w:spacing w:after="0"/>
              <w:rPr>
                <w:rFonts w:ascii="Calibri;sans-serif" w:hAnsi="Calibri;sans-serif" w:cs="Calibri;sans-serif"/>
                <w:sz w:val="24"/>
              </w:rPr>
            </w:pPr>
          </w:p>
          <w:p w14:paraId="2789E0DD" w14:textId="77777777" w:rsidR="00FF0BC1" w:rsidRDefault="00FF0BC1">
            <w:pPr>
              <w:pStyle w:val="Tekstpodstawowy"/>
              <w:spacing w:line="300" w:lineRule="atLeast"/>
            </w:pPr>
          </w:p>
          <w:p w14:paraId="2789E0DE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Kryteria oceniania:</w:t>
            </w:r>
          </w:p>
          <w:p w14:paraId="2789E0DF" w14:textId="77777777" w:rsidR="00FF0BC1" w:rsidRDefault="00FF0BC1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14:paraId="2789E0E0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1. Praca na zajęciach (w tym praca projektowa i zadaniowa w grupach) 40%</w:t>
            </w:r>
          </w:p>
          <w:p w14:paraId="2789E0E1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lastRenderedPageBreak/>
              <w:t>oceniana jest:</w:t>
            </w:r>
          </w:p>
          <w:p w14:paraId="2789E0E2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- aktywność w dyskusji (zgłaszanie problemów, kontrowersji, interpelacje słuchaczy)</w:t>
            </w:r>
          </w:p>
          <w:p w14:paraId="2789E0E3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- praca nad zadaniami w klasie (aktywne współdziałanie, wsparcie i konsultacje wzajemne, praca z materiałem)</w:t>
            </w:r>
          </w:p>
          <w:p w14:paraId="2789E0E4" w14:textId="77777777" w:rsidR="00FF0BC1" w:rsidRDefault="00FF0BC1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14:paraId="2789E0E5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2. Zadania (case studies): 60%</w:t>
            </w:r>
          </w:p>
          <w:p w14:paraId="2789E0E6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 xml:space="preserve"> </w:t>
            </w:r>
          </w:p>
          <w:p w14:paraId="2789E0E7" w14:textId="77777777" w:rsidR="00FF0BC1" w:rsidRDefault="00FF0BC1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</w:p>
          <w:p w14:paraId="2789E0E8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14:paraId="2789E0E9" w14:textId="77777777" w:rsidR="00FF0BC1" w:rsidRDefault="00FF0BC1">
            <w:pPr>
              <w:pStyle w:val="Tekstpodstawowy"/>
              <w:spacing w:line="300" w:lineRule="atLeast"/>
            </w:pPr>
          </w:p>
          <w:p w14:paraId="2789E0EA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i/>
                <w:iCs/>
                <w:sz w:val="24"/>
              </w:rPr>
            </w:pPr>
            <w:r>
              <w:rPr>
                <w:rFonts w:ascii="Calibri;sans-serif" w:hAnsi="Calibri;sans-serif" w:cs="Calibri;sans-serif"/>
                <w:i/>
                <w:iCs/>
                <w:sz w:val="24"/>
              </w:rPr>
              <w:t>System oceniania ma charakter ciagły.</w:t>
            </w:r>
          </w:p>
          <w:p w14:paraId="2789E0EB" w14:textId="77777777" w:rsidR="00FF0BC1" w:rsidRDefault="00FF0BC1">
            <w:pPr>
              <w:pStyle w:val="Tekstpodstawowy"/>
              <w:spacing w:line="300" w:lineRule="atLeast"/>
              <w:rPr>
                <w:i/>
                <w:iCs/>
              </w:rPr>
            </w:pPr>
          </w:p>
          <w:p w14:paraId="2789E0EC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14:paraId="2789E0ED" w14:textId="77777777" w:rsidR="00FF0BC1" w:rsidRDefault="001A0CA6">
            <w:pPr>
              <w:pStyle w:val="Tekstpodstawowy"/>
              <w:spacing w:line="300" w:lineRule="atLeast"/>
              <w:rPr>
                <w:rFonts w:ascii="Calibri;sans-serif" w:hAnsi="Calibri;sans-serif" w:cs="Calibri;sans-serif"/>
                <w:color w:val="953734"/>
              </w:rPr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14:paraId="2789E0EE" w14:textId="77777777" w:rsidR="00FF0BC1" w:rsidRDefault="001A0CA6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50-55 – dostateczny-</w:t>
            </w:r>
          </w:p>
          <w:p w14:paraId="2789E0EF" w14:textId="77777777" w:rsidR="00FF0BC1" w:rsidRDefault="001A0CA6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56-65 – dostateczny</w:t>
            </w:r>
          </w:p>
          <w:p w14:paraId="2789E0F0" w14:textId="77777777" w:rsidR="00FF0BC1" w:rsidRDefault="001A0CA6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95B3D7"/>
              </w:rPr>
            </w:pPr>
            <w:r>
              <w:rPr>
                <w:rFonts w:ascii="Calibri;sans-serif" w:hAnsi="Calibri;sans-serif" w:cs="Calibri;sans-serif"/>
                <w:color w:val="95B3D7"/>
              </w:rPr>
              <w:t>66-70 – dostateczny+</w:t>
            </w:r>
          </w:p>
          <w:p w14:paraId="2789E0F1" w14:textId="77777777" w:rsidR="00FF0BC1" w:rsidRDefault="001A0CA6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71-78 – dobry -</w:t>
            </w:r>
          </w:p>
          <w:p w14:paraId="2789E0F2" w14:textId="77777777" w:rsidR="00FF0BC1" w:rsidRDefault="001A0CA6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79-85 – dobry</w:t>
            </w:r>
          </w:p>
          <w:p w14:paraId="2789E0F3" w14:textId="77777777" w:rsidR="00FF0BC1" w:rsidRDefault="001A0CA6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76923C"/>
              </w:rPr>
            </w:pPr>
            <w:r>
              <w:rPr>
                <w:rFonts w:ascii="Calibri;sans-serif" w:hAnsi="Calibri;sans-serif" w:cs="Calibri;sans-serif"/>
                <w:color w:val="76923C"/>
              </w:rPr>
              <w:t>86-89 - dobry +</w:t>
            </w:r>
          </w:p>
          <w:p w14:paraId="2789E0F4" w14:textId="77777777" w:rsidR="00FF0BC1" w:rsidRDefault="001A0CA6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90-94 – bardzo dobry -</w:t>
            </w:r>
          </w:p>
          <w:p w14:paraId="2789E0F5" w14:textId="77777777" w:rsidR="00FF0BC1" w:rsidRDefault="001A0CA6">
            <w:pPr>
              <w:pStyle w:val="Tekstpodstawowy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&gt; 95 – bardzo dobry</w:t>
            </w:r>
          </w:p>
          <w:p w14:paraId="2789E0F6" w14:textId="77777777" w:rsidR="00FF0BC1" w:rsidRDefault="00FF0BC1">
            <w:pPr>
              <w:pStyle w:val="Tekstpodstawowy"/>
              <w:spacing w:line="300" w:lineRule="atLeast"/>
            </w:pPr>
          </w:p>
          <w:p w14:paraId="2789E0F7" w14:textId="77777777" w:rsidR="00FF0BC1" w:rsidRDefault="00FF0BC1">
            <w:pPr>
              <w:pStyle w:val="Tekstpodstawowy"/>
              <w:spacing w:line="300" w:lineRule="atLeast"/>
              <w:rPr>
                <w:i/>
                <w:iCs/>
              </w:rPr>
            </w:pPr>
          </w:p>
          <w:p w14:paraId="2789E0F8" w14:textId="77777777" w:rsidR="00FF0BC1" w:rsidRDefault="001A0CA6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sz w:val="20"/>
                <w:szCs w:val="20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hAnsi="Calibri;sans-serif" w:cs="Calibri;sans-serif"/>
                <w:i/>
                <w:iCs/>
                <w:sz w:val="20"/>
                <w:szCs w:val="20"/>
              </w:rPr>
              <w:t>praktykę</w:t>
            </w:r>
            <w:r>
              <w:rPr>
                <w:rFonts w:ascii="Calibri;sans-serif" w:hAnsi="Calibri;sans-serif" w:cs="Calibri;sans-serif"/>
                <w:sz w:val="20"/>
                <w:szCs w:val="20"/>
              </w:rPr>
              <w:t xml:space="preserve"> zastosowania wiedzy i umiejętności, odtwarzanie nabytej wiedzy nie jest priorytetem.</w:t>
            </w:r>
          </w:p>
          <w:p w14:paraId="2789E0F9" w14:textId="77777777" w:rsidR="00FF0BC1" w:rsidRDefault="00FF0BC1">
            <w:pPr>
              <w:pStyle w:val="Tekstpodstawowy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</w:tbl>
    <w:p w14:paraId="2789E0FB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789E0FC" w14:textId="77777777" w:rsidR="00FF0BC1" w:rsidRDefault="001A0CA6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789E0FD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19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901"/>
        <w:gridCol w:w="4618"/>
      </w:tblGrid>
      <w:tr w:rsidR="00FF0BC1" w14:paraId="2789E100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FE" w14:textId="77777777" w:rsidR="00FF0BC1" w:rsidRDefault="001A0C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E0FF" w14:textId="77777777" w:rsidR="00FF0BC1" w:rsidRDefault="001A0C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F0BC1" w14:paraId="2789E103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01" w14:textId="77777777" w:rsidR="00FF0BC1" w:rsidRDefault="001A0CA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02" w14:textId="77777777" w:rsidR="00FF0BC1" w:rsidRDefault="001A0CA6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</w:tr>
      <w:tr w:rsidR="00FF0BC1" w14:paraId="2789E107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04" w14:textId="77777777" w:rsidR="00FF0BC1" w:rsidRDefault="001A0CA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2789E105" w14:textId="77777777" w:rsidR="00FF0BC1" w:rsidRDefault="001A0CA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06" w14:textId="77777777" w:rsidR="00FF0BC1" w:rsidRDefault="001A0CA6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5 i wedle potrzeb</w:t>
            </w:r>
          </w:p>
        </w:tc>
      </w:tr>
      <w:tr w:rsidR="00FF0BC1" w14:paraId="2789E10B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08" w14:textId="77777777" w:rsidR="00FF0BC1" w:rsidRDefault="001A0CA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2789E109" w14:textId="77777777" w:rsidR="00FF0BC1" w:rsidRDefault="001A0CA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0A" w14:textId="6CD83B0E" w:rsidR="00FF0BC1" w:rsidRDefault="001A0CA6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</w:t>
            </w:r>
          </w:p>
        </w:tc>
      </w:tr>
      <w:tr w:rsidR="00FF0BC1" w14:paraId="2789E10E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0C" w14:textId="77777777" w:rsidR="00FF0BC1" w:rsidRDefault="001A0CA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0D" w14:textId="5340B439" w:rsidR="00FF0BC1" w:rsidRDefault="00D479B2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FF0BC1" w14:paraId="2789E111" w14:textId="77777777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0F" w14:textId="77777777" w:rsidR="00FF0BC1" w:rsidRDefault="001A0CA6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10" w14:textId="77777777" w:rsidR="00FF0BC1" w:rsidRDefault="001A0CA6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</w:tr>
    </w:tbl>
    <w:p w14:paraId="2789E112" w14:textId="77777777" w:rsidR="00FF0BC1" w:rsidRDefault="001A0CA6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789E113" w14:textId="77777777" w:rsidR="00FF0BC1" w:rsidRDefault="00FF0BC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789E114" w14:textId="77777777" w:rsidR="00FF0BC1" w:rsidRDefault="001A0CA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2789E115" w14:textId="77777777" w:rsidR="00FF0BC1" w:rsidRDefault="00FF0BC1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12" w:type="dxa"/>
        <w:tblInd w:w="670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543"/>
        <w:gridCol w:w="3969"/>
      </w:tblGrid>
      <w:tr w:rsidR="00FF0BC1" w14:paraId="2789E118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16" w14:textId="77777777" w:rsidR="00FF0BC1" w:rsidRDefault="001A0CA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17" w14:textId="77777777" w:rsidR="00FF0BC1" w:rsidRDefault="00FF0BC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F0BC1" w14:paraId="2789E11B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19" w14:textId="77777777" w:rsidR="00FF0BC1" w:rsidRDefault="001A0CA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1A" w14:textId="77777777" w:rsidR="00FF0BC1" w:rsidRDefault="00FF0BC1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2789E11C" w14:textId="77777777" w:rsidR="00FF0BC1" w:rsidRDefault="00FF0BC1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2789E11D" w14:textId="77777777" w:rsidR="00FF0BC1" w:rsidRDefault="001A0CA6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2789E11E" w14:textId="77777777" w:rsidR="00FF0BC1" w:rsidRDefault="00FF0BC1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13" w:type="dxa"/>
        <w:tblInd w:w="670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513"/>
      </w:tblGrid>
      <w:tr w:rsidR="00FF0BC1" w14:paraId="2789E134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1F" w14:textId="77777777" w:rsidR="00FF0BC1" w:rsidRDefault="001A0CA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2789E120" w14:textId="77777777" w:rsidR="00FF0BC1" w:rsidRDefault="00FF0BC1">
            <w:pPr>
              <w:pStyle w:val="Tekstpodstawowy"/>
              <w:spacing w:after="0"/>
              <w:ind w:left="720"/>
            </w:pPr>
          </w:p>
          <w:p w14:paraId="2789E121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Arystoteles (1964) Polityka z dodaniem pseudo-arystotelesowej Ekonomiki, tł. K. Grzybowski, PWN Warszawa</w:t>
            </w:r>
          </w:p>
          <w:p w14:paraId="2789E122" w14:textId="77777777" w:rsidR="00FF0BC1" w:rsidRPr="00E10D45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10D4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Binelli, Chiara &amp; Loveless, Matthew &amp; Whitefield, Stephen. (2015). What Is Social Inequality and Why Does it Matter? Evidence from Central and Eastern Europe. World Development. 70. 239-248. 10.1016/j.worlddev.2015.02.007. </w:t>
            </w:r>
          </w:p>
          <w:p w14:paraId="2789E123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Bourdieu P. (2004) Męska dominacja, tł. L. Kopciewicz, Oficyna Naukowa, Warszawa</w:t>
            </w:r>
          </w:p>
          <w:p w14:paraId="2789E124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Bourdieu P. Passeron J.Cl. (2006) Reprodukcja : elementy teorii systemu nauczania, tł. E. Neyman, Wyd. Naukowe PWN, Warszawa</w:t>
            </w:r>
          </w:p>
          <w:p w14:paraId="2789E125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Bourdieu P., Co tworzy klasę społeczną? O teoretycznym i praktycznym istnieniu grup, „Recykling Idei”, Nr 11/2009, ss. 36-46</w:t>
            </w:r>
          </w:p>
          <w:p w14:paraId="2789E126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 w:rsidRPr="00E10D4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Hurst Ch. E. (2007). Social Inequality: Forms, Causes, and Consequences, 6/Ed. </w:t>
            </w:r>
            <w:r>
              <w:rPr>
                <w:rFonts w:ascii="Times New Roman" w:hAnsi="Times New Roman"/>
                <w:sz w:val="20"/>
                <w:szCs w:val="20"/>
              </w:rPr>
              <w:t>Allyn &amp; Bacon</w:t>
            </w:r>
          </w:p>
          <w:p w14:paraId="2789E127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Kozyr-Kowalski St. (1979) Klasy i stany : Max Weber a współczesna teoria stratyfikacji społecznej,  Państ. Wydaw. Naukowe, Warszawa</w:t>
            </w:r>
          </w:p>
          <w:p w14:paraId="2789E128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Latour B. (2011) Nigdy nie byliśmy nowocześni : studium z antropologii symetrycznej, tł M. Gdula, Oficyna Naukowa, Warszawa</w:t>
            </w:r>
          </w:p>
          <w:p w14:paraId="2789E129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Locke J. (2015) Dwa traktaty o rządzie, tł Zb. Rau, Wydawnictwo Aletheia, Warszawa</w:t>
            </w:r>
          </w:p>
          <w:p w14:paraId="2789E12A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Marks K. (1948) Płaca, cena i zysk (bat) Książka i Wiedza, Warszawa (online:) https://www.marxists.org/polski/marks-engels/1865/placa-cena-i-zysk.htm</w:t>
            </w:r>
          </w:p>
          <w:p w14:paraId="2789E12B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Marks K. (1949) 18 brumaire'a Ludwika Bonaparte, (bat) Książka i Wiedza, Warszawa (online:) https://www.marxists.org/archive/marx/works/1852/18th-brumaire/ (eng.) </w:t>
            </w:r>
          </w:p>
          <w:p w14:paraId="2789E12C" w14:textId="77777777" w:rsidR="00FF0BC1" w:rsidRPr="00E10D45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10D4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Milner M. Jr. (1987) Theories of Inequality: An Overview and a Strategy for Synthesis, Social Forces Volume 65:4, June 1987  </w:t>
            </w:r>
            <w:r w:rsidRPr="00E10D45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https://pages.nyu.edu/jackson/class.analysis/readings/Milner--TheoriesInequality.pdf</w:t>
            </w:r>
          </w:p>
          <w:p w14:paraId="2789E12D" w14:textId="77777777" w:rsidR="00FF0BC1" w:rsidRPr="00E10D45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10D45">
              <w:rPr>
                <w:rFonts w:ascii="Times New Roman" w:hAnsi="Times New Roman"/>
                <w:sz w:val="20"/>
                <w:szCs w:val="20"/>
                <w:lang w:val="en-GB"/>
              </w:rPr>
              <w:t>Rawls J. (1971) Justice as fairness (online:) https://rintintin.colorado.edu/~vancecd/phil3160/Rawls.pdf</w:t>
            </w:r>
          </w:p>
          <w:p w14:paraId="2789E12E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Rawls J. (1994) Teoria sprawiedliwości (tł.) M. Panufnik, Wyd. Naukowe PWN, Warszawa</w:t>
            </w:r>
          </w:p>
          <w:p w14:paraId="2789E12F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Renzetti Cl. M, Curran D.J. (2005) Kobiety, mężczyźni i społeczeństwo, tł. Zb. Melosik, Wydaw. Naukowe PWN, Warszawa</w:t>
            </w:r>
          </w:p>
          <w:p w14:paraId="2789E130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Rousseau J.J. (1956) O pochodzeniu nierówności między ludźmi [w:] Trzy rozprawy z filozofii społecznej, tł H/ Elzenberg, PWN Warszawa</w:t>
            </w:r>
          </w:p>
          <w:p w14:paraId="2789E131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Weber M. (1965) Klasa, stan, partia, Wyższa Szkoła Nauk Społecznych przy KC PZPR, Warszawa</w:t>
            </w:r>
          </w:p>
          <w:p w14:paraId="2789E132" w14:textId="77777777" w:rsidR="00FF0BC1" w:rsidRDefault="001A0CA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Woolf W. (any) Własny pokój (any)</w:t>
            </w:r>
          </w:p>
          <w:p w14:paraId="2789E133" w14:textId="77777777" w:rsidR="00FF0BC1" w:rsidRDefault="00FF0BC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FF0BC1" w14:paraId="2789E153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E135" w14:textId="77777777" w:rsidR="00FF0BC1" w:rsidRDefault="001A0CA6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789E136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Baranowski, Mariusz. (2019). CYWILIZACJA NIERÓWNOŚCI : TEORETYCZNE I PRAKTYCZNE GRANICE ROZWOJU SPOŁECZEŃSTWA [A CIVILIZATION OF INEQUALITY: THEORETICAL AND PRACTICAL LIMITS OF SOCIAL DEVELOPMENT]. Athenaeum. 62. 45-64. 10.15804/athena.2019.62.03. </w:t>
            </w:r>
          </w:p>
          <w:p w14:paraId="2789E137" w14:textId="77777777" w:rsidR="00FF0BC1" w:rsidRPr="00E10D45" w:rsidRDefault="001A0CA6">
            <w:pPr>
              <w:pStyle w:val="Tekstpodstawowy"/>
              <w:numPr>
                <w:ilvl w:val="0"/>
                <w:numId w:val="5"/>
              </w:numPr>
              <w:rPr>
                <w:lang w:val="en-GB"/>
              </w:rPr>
            </w:pPr>
            <w:r w:rsidRPr="00E10D45">
              <w:rPr>
                <w:rFonts w:ascii="Times New Roman" w:hAnsi="Times New Roman" w:cs="Calibri;sans-serif"/>
                <w:sz w:val="20"/>
                <w:szCs w:val="20"/>
                <w:lang w:val="en-GB"/>
              </w:rPr>
              <w:t xml:space="preserve">Bourdieu P., Wacquant L. (2001) </w:t>
            </w:r>
            <w:r w:rsidRPr="00E10D45">
              <w:rPr>
                <w:rFonts w:ascii="Times New Roman" w:hAnsi="Times New Roman" w:cs="Calibri;sans-serif"/>
                <w:i/>
                <w:sz w:val="20"/>
                <w:szCs w:val="20"/>
                <w:lang w:val="en-GB"/>
              </w:rPr>
              <w:t>Neoliberal newspeak: notes on the new planetary vulgate</w:t>
            </w:r>
            <w:r w:rsidRPr="00E10D45">
              <w:rPr>
                <w:rFonts w:ascii="Times New Roman" w:hAnsi="Times New Roman" w:cs="Calibri;sans-serif"/>
                <w:sz w:val="20"/>
                <w:szCs w:val="20"/>
                <w:lang w:val="en-GB"/>
              </w:rPr>
              <w:t xml:space="preserve">, tł. Macey D. and Wacquant L. "Radical Philosophy", 108, </w:t>
            </w:r>
            <w:hyperlink r:id="rId7" w:tgtFrame="_blank">
              <w:r w:rsidRPr="00E10D45">
                <w:rPr>
                  <w:rStyle w:val="Hipercze"/>
                  <w:rFonts w:ascii="Times New Roman" w:hAnsi="Times New Roman" w:cs="Calibri;sans-serif"/>
                  <w:sz w:val="20"/>
                  <w:szCs w:val="20"/>
                  <w:lang w:val="en-GB"/>
                </w:rPr>
                <w:t>https://www.radicalphilosophyarchive.com/commentary/newliberalspeak</w:t>
              </w:r>
            </w:hyperlink>
            <w:r w:rsidRPr="00E10D45">
              <w:rPr>
                <w:rFonts w:ascii="Times New Roman" w:hAnsi="Times New Roman" w:cs="Calibri;sans-serif"/>
                <w:sz w:val="20"/>
                <w:szCs w:val="20"/>
                <w:lang w:val="en-GB"/>
              </w:rPr>
              <w:t> </w:t>
            </w:r>
          </w:p>
          <w:p w14:paraId="2789E138" w14:textId="77777777" w:rsidR="00FF0BC1" w:rsidRPr="00E10D45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10D45">
              <w:rPr>
                <w:rFonts w:ascii="Times New Roman" w:hAnsi="Times New Roman"/>
                <w:sz w:val="20"/>
                <w:szCs w:val="20"/>
                <w:lang w:val="en-GB"/>
              </w:rPr>
              <w:t>Buchowski M. (2006), The Specter of Orientalism in Europe: From Exotic Other to Stigmatized Brother, “Anthropological Quarterly”, 79(3), s. 463–482</w:t>
            </w:r>
          </w:p>
          <w:p w14:paraId="2789E139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Calibri;sans-serif"/>
                <w:sz w:val="20"/>
                <w:szCs w:val="20"/>
              </w:rPr>
              <w:t xml:space="preserve">Butler J., (2003) </w:t>
            </w:r>
            <w:r>
              <w:rPr>
                <w:rFonts w:ascii="Times New Roman" w:hAnsi="Times New Roman" w:cs="Calibri;sans-serif"/>
                <w:i/>
                <w:sz w:val="20"/>
                <w:szCs w:val="20"/>
              </w:rPr>
              <w:t>Imitacja i nieposłuszeństwo płciowe</w:t>
            </w:r>
            <w:r>
              <w:rPr>
                <w:rFonts w:ascii="Times New Roman" w:hAnsi="Times New Roman" w:cs="Calibri;sans-serif"/>
                <w:sz w:val="20"/>
                <w:szCs w:val="20"/>
              </w:rPr>
              <w:t>, tł. F. Majewska, „Przegląd filozoficzno-literacki” 1(3) s. 89-109 </w:t>
            </w:r>
          </w:p>
          <w:p w14:paraId="2789E13A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Dębska H, Warczok T. (2019) Nierówności w nauce i ich uwarunkowania: polskie (sub)pole filozofii prawa, Przegląd Socjologiczny 2/68</w:t>
            </w:r>
          </w:p>
          <w:p w14:paraId="2789E13B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Domański H. (2004) Struktura społeczna, Wydawnictwo Naukowe Scholar, Warszawa </w:t>
            </w:r>
          </w:p>
          <w:p w14:paraId="2789E13C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Dunn E. (2008) Prywatyzując Polskę. O bobofrutach, wielkim biznesie i restrukturyzacji pracy, Wydawnictwo Krytyki Politycznej, Warszawa 2008</w:t>
            </w:r>
          </w:p>
          <w:p w14:paraId="2789E13D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Gdula M., Sadura P. (2012) Style życia i porządek klasowy w Polsce, Wydawnictwo Scholar, Warszawa</w:t>
            </w:r>
          </w:p>
          <w:p w14:paraId="2789E13E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Calibri;sans-serif"/>
                <w:sz w:val="20"/>
                <w:szCs w:val="20"/>
              </w:rPr>
              <w:t xml:space="preserve">Goffman E., (2007) </w:t>
            </w:r>
            <w:r>
              <w:rPr>
                <w:rFonts w:ascii="Times New Roman" w:hAnsi="Times New Roman" w:cs="Calibri;sans-serif"/>
                <w:i/>
                <w:sz w:val="20"/>
                <w:szCs w:val="20"/>
              </w:rPr>
              <w:t>Pietno. Rozważania o zranionej tożsamości</w:t>
            </w:r>
            <w:r>
              <w:rPr>
                <w:rFonts w:ascii="Times New Roman" w:hAnsi="Times New Roman" w:cs="Calibri;sans-serif"/>
                <w:sz w:val="20"/>
                <w:szCs w:val="20"/>
              </w:rPr>
              <w:t>, tł. A. Dzierżynska, J. Tokarska-Bakir, wstęp: J. Tokarska-Bakir, Gdańsk </w:t>
            </w:r>
          </w:p>
          <w:p w14:paraId="2789E13F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Calibri;sans-serif"/>
                <w:sz w:val="20"/>
                <w:szCs w:val="20"/>
              </w:rPr>
              <w:t xml:space="preserve">Grudzińska I., (2004) </w:t>
            </w:r>
            <w:r>
              <w:rPr>
                <w:rFonts w:ascii="Times New Roman" w:hAnsi="Times New Roman" w:cs="Calibri;sans-serif"/>
                <w:i/>
                <w:sz w:val="20"/>
                <w:szCs w:val="20"/>
              </w:rPr>
              <w:t>Podejrzane pochodzenie jako kategoria kultury polskiej</w:t>
            </w:r>
            <w:r>
              <w:rPr>
                <w:rFonts w:ascii="Times New Roman" w:hAnsi="Times New Roman" w:cs="Calibri;sans-serif"/>
                <w:sz w:val="20"/>
                <w:szCs w:val="20"/>
              </w:rPr>
              <w:t xml:space="preserve"> (w:) </w:t>
            </w:r>
            <w:r>
              <w:rPr>
                <w:rFonts w:ascii="Times New Roman" w:hAnsi="Times New Roman" w:cs="Calibri;sans-serif"/>
                <w:i/>
                <w:sz w:val="20"/>
                <w:szCs w:val="20"/>
              </w:rPr>
              <w:t>Inna, Inny, Inne. O inności w kulturze,</w:t>
            </w:r>
            <w:r>
              <w:rPr>
                <w:rFonts w:ascii="Times New Roman" w:hAnsi="Times New Roman" w:cs="Calibri;sans-serif"/>
                <w:sz w:val="20"/>
                <w:szCs w:val="20"/>
              </w:rPr>
              <w:t xml:space="preserve"> (red:) M. Janion, Cl. Snochowska-Gonzales, K. Szczuka, Warszawa </w:t>
            </w:r>
          </w:p>
          <w:p w14:paraId="2789E140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Kamiński T. (2008) O pożytku z wykluczonych - parę prowokacyjnych uwag politologa, Praca socjalna i polityka społecznaobszary współdziałania wobec wykluczenia społecznego, red. K. Marzec-Holka, A. Rutkowska, M. Joachimowska, Bydgoszcz 2008, s. 298-306.</w:t>
            </w:r>
          </w:p>
          <w:p w14:paraId="2789E141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Kubiak A. (2017) „Bieda (z tą Polską)”. Prostacy i mieszczanie: modernizacyjna naturalizacja i normalizacja peryferyjnych nierówności, Polityka i Społeczeństwo nr 3(15)/2017, s. 95–112</w:t>
            </w:r>
          </w:p>
          <w:p w14:paraId="2789E142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Kubicki P. (2011), Nowi mieszczanie – nowi aktorzy na miejskiej scenie, „Przegląd Socjologiczny” 60(2–3), s. 203–227</w:t>
            </w:r>
          </w:p>
          <w:p w14:paraId="2789E143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Mika B. (2014) Teoria klas a społeczeństwo ryzyka, Prakseologia nr 155</w:t>
            </w:r>
          </w:p>
          <w:p w14:paraId="2789E144" w14:textId="77777777" w:rsidR="00FF0BC1" w:rsidRPr="00E10D45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10D45">
              <w:rPr>
                <w:rFonts w:ascii="Times New Roman" w:hAnsi="Times New Roman" w:cs="Calibri;sans-serif"/>
                <w:sz w:val="20"/>
                <w:szCs w:val="20"/>
                <w:lang w:val="en-GB"/>
              </w:rPr>
              <w:t xml:space="preserve">Mirzoeff N., (2006) </w:t>
            </w:r>
            <w:r w:rsidRPr="00E10D45">
              <w:rPr>
                <w:rFonts w:ascii="Times New Roman" w:hAnsi="Times New Roman" w:cs="Calibri;sans-serif"/>
                <w:i/>
                <w:sz w:val="20"/>
                <w:szCs w:val="20"/>
                <w:lang w:val="en-GB"/>
              </w:rPr>
              <w:t>Invisible empire: Visual culture, embodied spectacle, and Abu Ghraib</w:t>
            </w:r>
            <w:r w:rsidRPr="00E10D45">
              <w:rPr>
                <w:rFonts w:ascii="Times New Roman" w:hAnsi="Times New Roman" w:cs="Calibri;sans-serif"/>
                <w:sz w:val="20"/>
                <w:szCs w:val="20"/>
                <w:lang w:val="en-GB"/>
              </w:rPr>
              <w:t>, "Radical History Review" s. 95-21 </w:t>
            </w:r>
          </w:p>
          <w:p w14:paraId="2789E145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Nowak-Posadzy K.(2015), JAKĄ TEORIĄ JEST MARKSOWSKA TEORIA WARTOŚCI OPARTEJ NA PRACY?. Praktyka Teoretyczna 1(15) http://yadda.icm.edu.pl/yadda/element/bwmeta1.element.ojs-doi-10_14746_prt_2015_1_1/c/4675-4786.pdf</w:t>
            </w:r>
          </w:p>
          <w:p w14:paraId="2789E146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Płuciennikczak P.P. (2015)Książki i klasy: jak język odtwarza nierówności [w] Literatura polska po 1989 roku w świetle teorii Pierre'a Bourdieu. Podręcznik, G. Jankowicz, P. Marecki, M. Sowiński (red.)</w:t>
            </w:r>
          </w:p>
          <w:p w14:paraId="2789E147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Smoczyński R., Zarycki T. 2016, Totem inteligencki. Arystokracja, szlachta i ziemiaństwo w polskiej przestrzeni społecznej, Scholar, Warszawa.</w:t>
            </w:r>
          </w:p>
          <w:p w14:paraId="2789E148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Stachura K. (2012) Wymiary cyfrowych nierówności. Uwagi o problemie technologicznej nieobecności, https://www.academia.edu/4999986/Wymiary_cyfrowych_nier%C3%B3wno%C5%9Bci_Uwagi_o_problemie_technologicznej_nieobecno%C5%9Bci_2012_</w:t>
            </w:r>
          </w:p>
          <w:p w14:paraId="2789E149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Szkudlarek T. 2007, Edukacja i konstruowanie społecznych nierówności [w:] J. Klebaniuk </w:t>
            </w:r>
            <w:r>
              <w:rPr>
                <w:rFonts w:ascii="Times New Roman" w:hAnsi="Times New Roman" w:cs="Calibri;sans-serif"/>
                <w:sz w:val="20"/>
                <w:szCs w:val="20"/>
              </w:rPr>
              <w:t>(red.), Fenomen nierówności społecznych, ENETEIA, Wyd. Psychologii i Kultury, Warszawa.</w:t>
            </w:r>
          </w:p>
          <w:p w14:paraId="2789E14A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Szkudlarek, Tomasz. (2023). Instrumentalizm a autonomia edukacji. https://www.researchgate.net/publication/371901343_Instrumentalizm_a_autonomia_edukacji</w:t>
            </w:r>
          </w:p>
          <w:p w14:paraId="2789E14B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Sztompka, Piotr. (2018). Paradoks sprawiedliwości społecznej: równość zasad nierówności. Ruch Prawniczy, Ekonomiczny i Socjologiczny. 74. 239-255. 10.14746/rpeis.2012.74.4.16. https://www.researchgate.net/publication/328766551_PARADOKS_SPRAWIEDLIWOSCI_SPOLECZNEJ_ROWNOSC_ZASAD_NIEROWNOSCI/citation/download</w:t>
            </w:r>
          </w:p>
          <w:p w14:paraId="2789E14C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Urbański J.(2014) Prekariat i nowa walka klas, Książka i Prasa, Warszawa </w:t>
            </w:r>
          </w:p>
          <w:p w14:paraId="2789E14D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Woźniak W. (2015) Nierówności społeczne i ich dziedziczenie jako problem strukturalny i polityczny, s. 73-94 [w:] B. Kłos, J. Szymańczak (red.) Nierówności społeczne w Polsce, Warszawa: Wydawnictwo Sejmowe.</w:t>
            </w:r>
          </w:p>
          <w:p w14:paraId="2789E14E" w14:textId="77777777" w:rsidR="00FF0BC1" w:rsidRDefault="001A0CA6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Calibri;sans-serif"/>
                <w:sz w:val="20"/>
                <w:szCs w:val="20"/>
              </w:rPr>
              <w:t xml:space="preserve">Zizek S., (2001) </w:t>
            </w:r>
            <w:r>
              <w:rPr>
                <w:rFonts w:ascii="Times New Roman" w:hAnsi="Times New Roman" w:cs="Calibri;sans-serif"/>
                <w:i/>
                <w:sz w:val="20"/>
                <w:szCs w:val="20"/>
              </w:rPr>
              <w:t>Przekleństwo fantazji,</w:t>
            </w:r>
            <w:r>
              <w:rPr>
                <w:rFonts w:ascii="Times New Roman" w:hAnsi="Times New Roman" w:cs="Calibri;sans-serif"/>
                <w:sz w:val="20"/>
                <w:szCs w:val="20"/>
              </w:rPr>
              <w:t xml:space="preserve"> tł A. Chmielewski Wrocław</w:t>
            </w:r>
          </w:p>
          <w:p w14:paraId="2789E14F" w14:textId="77777777" w:rsidR="00FF0BC1" w:rsidRDefault="001A0CA6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b/>
                <w:sz w:val="24"/>
              </w:rPr>
              <w:t>Uwaga:</w:t>
            </w:r>
            <w:r>
              <w:t xml:space="preserve"> </w:t>
            </w:r>
            <w:r>
              <w:rPr>
                <w:rFonts w:ascii="Calibri;sans-serif" w:hAnsi="Calibri;sans-serif" w:cs="Calibri;sans-serif"/>
                <w:sz w:val="24"/>
              </w:rPr>
              <w:t xml:space="preserve">kurs obejmuje materiały online wskazane przez prowadzącego oraz swobodnie dobierane przez uczestników. </w:t>
            </w:r>
          </w:p>
          <w:p w14:paraId="2789E150" w14:textId="77777777" w:rsidR="00FF0BC1" w:rsidRDefault="001A0CA6">
            <w:pPr>
              <w:pStyle w:val="Tekstpodstawowy"/>
              <w:spacing w:line="300" w:lineRule="atLeast"/>
            </w:pPr>
            <w:r>
              <w:rPr>
                <w:rFonts w:ascii="Calibri;sans-serif" w:hAnsi="Calibri;sans-serif" w:cs="Calibri;sans-serif"/>
                <w:sz w:val="24"/>
              </w:rPr>
              <w:t>Z racji stale zmieniających się zasobów bibliograficznych i zakresu (pola) refleksji - materiały są poddawane stałej aktualizacji.</w:t>
            </w:r>
          </w:p>
          <w:p w14:paraId="2789E151" w14:textId="77777777" w:rsidR="00FF0BC1" w:rsidRDefault="00FF0BC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2789E152" w14:textId="77777777" w:rsidR="00FF0BC1" w:rsidRDefault="00FF0BC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2789E154" w14:textId="77777777" w:rsidR="00FF0BC1" w:rsidRDefault="00FF0BC1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2789E155" w14:textId="77777777" w:rsidR="00FF0BC1" w:rsidRDefault="00FF0BC1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2789E156" w14:textId="77777777" w:rsidR="00FF0BC1" w:rsidRDefault="001A0CA6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FF0BC1">
      <w:type w:val="continuous"/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9BF7C" w14:textId="77777777" w:rsidR="00D30A40" w:rsidRDefault="00D30A40">
      <w:pPr>
        <w:spacing w:after="0" w:line="240" w:lineRule="auto"/>
      </w:pPr>
      <w:r>
        <w:separator/>
      </w:r>
    </w:p>
  </w:endnote>
  <w:endnote w:type="continuationSeparator" w:id="0">
    <w:p w14:paraId="334A81E7" w14:textId="77777777" w:rsidR="00D30A40" w:rsidRDefault="00D3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;Calibri_EmbeddedFont">
    <w:altName w:val="Cambria"/>
    <w:panose1 w:val="00000000000000000000"/>
    <w:charset w:val="00"/>
    <w:family w:val="roman"/>
    <w:notTrueType/>
    <w:pitch w:val="default"/>
  </w:font>
  <w:font w:name="Corbel;Corbel_EmbeddedFont">
    <w:altName w:val="Cambria"/>
    <w:panose1 w:val="00000000000000000000"/>
    <w:charset w:val="00"/>
    <w:family w:val="roman"/>
    <w:notTrueType/>
    <w:pitch w:val="default"/>
  </w:font>
  <w:font w:name="Arial CE;Arial CE_EmbeddedFont">
    <w:altName w:val="Arial"/>
    <w:panose1 w:val="00000000000000000000"/>
    <w:charset w:val="00"/>
    <w:family w:val="roman"/>
    <w:notTrueType/>
    <w:pitch w:val="default"/>
  </w:font>
  <w:font w:name="Calibri;sans-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62329" w14:textId="77777777" w:rsidR="00D30A40" w:rsidRDefault="00D30A40">
      <w:pPr>
        <w:rPr>
          <w:sz w:val="12"/>
        </w:rPr>
      </w:pPr>
      <w:r>
        <w:separator/>
      </w:r>
    </w:p>
  </w:footnote>
  <w:footnote w:type="continuationSeparator" w:id="0">
    <w:p w14:paraId="62AC6605" w14:textId="77777777" w:rsidR="00D30A40" w:rsidRDefault="00D30A40">
      <w:pPr>
        <w:rPr>
          <w:sz w:val="12"/>
        </w:rPr>
      </w:pPr>
      <w:r>
        <w:continuationSeparator/>
      </w:r>
    </w:p>
  </w:footnote>
  <w:footnote w:id="1">
    <w:p w14:paraId="2789E159" w14:textId="77777777" w:rsidR="00FF0BC1" w:rsidRDefault="001A0CA6">
      <w:pPr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  <w:r>
        <w:br w:type="page"/>
      </w:r>
    </w:p>
    <w:p w14:paraId="2789E15A" w14:textId="77777777" w:rsidR="00FF0BC1" w:rsidRDefault="001A0CA6">
      <w:pPr>
        <w:pStyle w:val="Tekstprzypisudolnego"/>
      </w:pPr>
      <w:r>
        <w:rPr>
          <w:rStyle w:val="FootnoteCharacters"/>
        </w:rPr>
        <w:tab/>
        <w:t>?</w:t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95D40"/>
    <w:multiLevelType w:val="multilevel"/>
    <w:tmpl w:val="63564A1E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4E7C219B"/>
    <w:multiLevelType w:val="multilevel"/>
    <w:tmpl w:val="E9785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55795491"/>
    <w:multiLevelType w:val="multilevel"/>
    <w:tmpl w:val="EE8A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6F613CEA"/>
    <w:multiLevelType w:val="multilevel"/>
    <w:tmpl w:val="395863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F8625F2"/>
    <w:multiLevelType w:val="multilevel"/>
    <w:tmpl w:val="00C0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C1"/>
    <w:rsid w:val="001A0CA6"/>
    <w:rsid w:val="001A51F1"/>
    <w:rsid w:val="003C3C6D"/>
    <w:rsid w:val="003C6D08"/>
    <w:rsid w:val="00620493"/>
    <w:rsid w:val="00B711DE"/>
    <w:rsid w:val="00D30A40"/>
    <w:rsid w:val="00D479B2"/>
    <w:rsid w:val="00E10D45"/>
    <w:rsid w:val="00FF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9DFFE"/>
  <w15:docId w15:val="{E962EA8F-B542-42CB-8C45-D2D37F7BD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OpenSymbol;Arial Unicode MS"/>
    </w:rPr>
  </w:style>
  <w:style w:type="character" w:customStyle="1" w:styleId="WW8Num3z0">
    <w:name w:val="WW8Num3z0"/>
    <w:qFormat/>
    <w:rPr>
      <w:rFonts w:ascii="Symbol" w:hAnsi="Symbol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</w:rPr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NumberingSymbols">
    <w:name w:val="Numbering Symbols"/>
    <w:qFormat/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next w:val="Tekstpodstawowy"/>
    <w:uiPriority w:val="10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val="pl-PL"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val="pl-PL" w:eastAsia="en-US" w:bidi="ar-SA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adicalphilosophyarchive.com/commentary/newliberalspe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1934</Words>
  <Characters>11606</Characters>
  <Application>Microsoft Office Word</Application>
  <DocSecurity>0</DocSecurity>
  <Lines>96</Lines>
  <Paragraphs>27</Paragraphs>
  <ScaleCrop>false</ScaleCrop>
  <Company>Hewlett-Packard Company</Company>
  <LinksUpToDate>false</LinksUpToDate>
  <CharactersWithSpaces>13513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15</cp:revision>
  <cp:lastPrinted>2019-02-06T12:12:00Z</cp:lastPrinted>
  <dcterms:created xsi:type="dcterms:W3CDTF">2023-10-02T11:20:00Z</dcterms:created>
  <dcterms:modified xsi:type="dcterms:W3CDTF">2025-02-27T10:19:00Z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